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119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26"/>
        <w:gridCol w:w="1038"/>
        <w:gridCol w:w="4881"/>
      </w:tblGrid>
      <w:tr>
        <w:tc>
          <w:tcPr>
            <w:tcW w:type="dxa" w:w="46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103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 w:right="0"/>
              <w:rPr>
                <w:rFonts w:ascii="Times New Roman" w:hAnsi="Times New Roman"/>
                <w:color w:val="00000A"/>
                <w:sz w:val="28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 xml:space="preserve">с. Кругликово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_________________ Е.Г.</w:t>
            </w:r>
            <w:r>
              <w:rPr>
                <w:rFonts w:ascii="Times New Roman" w:hAnsi="Times New Roman"/>
                <w:color w:val="00000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8"/>
              </w:rPr>
              <w:t>Лобода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8"/>
        </w:rPr>
      </w:pPr>
    </w:p>
    <w:p w14:paraId="0E000000">
      <w:pPr>
        <w:spacing w:after="0" w:line="240" w:lineRule="exact"/>
        <w:ind w:hanging="851" w:left="851"/>
        <w:jc w:val="center"/>
        <w:rPr>
          <w:color w:val="00000A"/>
        </w:rPr>
      </w:pPr>
      <w:r>
        <w:rPr>
          <w:rFonts w:ascii="Times New Roman" w:hAnsi="Times New Roman"/>
          <w:color w:val="00000A"/>
          <w:sz w:val="28"/>
        </w:rPr>
        <w:t>ПЛАН</w:t>
      </w:r>
    </w:p>
    <w:p w14:paraId="0F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работы Дома культуры с.Кругликово филиала </w:t>
      </w:r>
    </w:p>
    <w:p w14:paraId="10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МБУК «Дом культуры «Юбилейный» муниципального района имени Лазо» 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На апрель 2026</w:t>
      </w:r>
      <w:r>
        <w:rPr>
          <w:rFonts w:ascii="Times New Roman" w:hAnsi="Times New Roman"/>
          <w:color w:val="00000A"/>
          <w:sz w:val="28"/>
        </w:rPr>
        <w:t xml:space="preserve"> года</w:t>
      </w:r>
    </w:p>
    <w:p w14:paraId="12000000">
      <w:pPr>
        <w:spacing w:after="0" w:line="240" w:lineRule="exact"/>
        <w:ind/>
        <w:rPr>
          <w:color w:val="00000A"/>
          <w:sz w:val="24"/>
        </w:rPr>
      </w:pPr>
    </w:p>
    <w:p w14:paraId="13000000">
      <w:pPr>
        <w:spacing w:after="0" w:line="240" w:lineRule="exact"/>
        <w:ind/>
        <w:rPr>
          <w:color w:val="00000A"/>
          <w:sz w:val="24"/>
        </w:rPr>
      </w:pPr>
    </w:p>
    <w:tbl>
      <w:tblPr>
        <w:tblStyle w:val="Style_1"/>
        <w:tblInd w:type="dxa" w:w="108"/>
        <w:tblLayout w:type="fixed"/>
      </w:tblPr>
      <w:tblGrid>
        <w:gridCol w:w="562"/>
        <w:gridCol w:w="2117"/>
        <w:gridCol w:w="1411"/>
        <w:gridCol w:w="1680"/>
        <w:gridCol w:w="1608"/>
        <w:gridCol w:w="1869"/>
      </w:tblGrid>
      <w:tr>
        <w:trPr>
          <w:trHeight w:hRule="atLeast" w:val="263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Административно-управленческая деятельность</w:t>
            </w:r>
          </w:p>
        </w:tc>
      </w:tr>
      <w:tr>
        <w:trPr>
          <w:trHeight w:hRule="atLeast" w:val="28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type="dxa" w:w="3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проведения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Планерка и разбор сценариев</w:t>
            </w:r>
          </w:p>
        </w:tc>
        <w:tc>
          <w:tcPr>
            <w:tcW w:type="dxa" w:w="309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апреля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2026</w:t>
            </w:r>
            <w:r>
              <w:rPr>
                <w:rFonts w:ascii="Times New Roman" w:hAnsi="Times New Roman"/>
                <w:sz w:val="22"/>
              </w:rPr>
              <w:t xml:space="preserve"> в 14:00</w:t>
            </w:r>
          </w:p>
        </w:tc>
        <w:tc>
          <w:tcPr>
            <w:tcW w:type="dxa" w:w="34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190"/>
        </w:trPr>
        <w:tc>
          <w:tcPr>
            <w:tcW w:type="dxa" w:w="92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Основные мероприятия на базе учреждения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и время</w:t>
            </w:r>
            <w:r>
              <w:rPr>
                <w:rFonts w:ascii="Times New Roman" w:hAnsi="Times New Roman"/>
                <w:sz w:val="22"/>
              </w:rPr>
              <w:t xml:space="preserve"> проведения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Контингент </w:t>
            </w:r>
          </w:p>
          <w:p w14:paraId="2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аудитории    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</w:t>
            </w:r>
          </w:p>
        </w:tc>
      </w:tr>
      <w:tr>
        <w:trPr>
          <w:trHeight w:hRule="atLeast" w:val="55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«Смехотерапия» – развлекательная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 апреля   </w:t>
            </w:r>
          </w:p>
          <w:p w14:paraId="2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</w:t>
            </w:r>
            <w:r>
              <w:rPr>
                <w:rFonts w:ascii="Times New Roman" w:hAnsi="Times New Roman"/>
                <w:sz w:val="22"/>
              </w:rPr>
              <w:t>ч.</w:t>
            </w:r>
            <w:r>
              <w:rPr>
                <w:rFonts w:ascii="Times New Roman" w:hAnsi="Times New Roman"/>
                <w:sz w:val="22"/>
              </w:rPr>
              <w:t xml:space="preserve">        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«Пасхальные затеи» – развлекательная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апреля</w:t>
            </w:r>
          </w:p>
          <w:p w14:paraId="2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  <w:p w14:paraId="3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2"/>
              </w:rPr>
            </w:pPr>
            <w:r>
              <w:rPr>
                <w:sz w:val="22"/>
              </w:rPr>
              <w:t>Сафонова Е.В.</w:t>
            </w:r>
          </w:p>
        </w:tc>
      </w:tr>
      <w:tr>
        <w:trPr>
          <w:trHeight w:hRule="atLeast" w:val="785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r>
              <w:t>«Космические дали» – квест, посвященный Дню космонавтики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 апреля</w:t>
            </w:r>
          </w:p>
          <w:p w14:paraId="3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543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«Этот загадочный космос» – выставка рисунков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 апреля</w:t>
            </w:r>
          </w:p>
          <w:p w14:paraId="3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927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  <w:p w14:paraId="43000000">
            <w:pPr>
              <w:rPr>
                <w:rFonts w:ascii="Times New Roman" w:hAnsi="Times New Roman"/>
                <w:sz w:val="22"/>
              </w:rPr>
            </w:pPr>
          </w:p>
          <w:p w14:paraId="44000000">
            <w:pPr>
              <w:rPr>
                <w:rFonts w:ascii="Times New Roman" w:hAnsi="Times New Roman"/>
                <w:sz w:val="22"/>
              </w:rPr>
            </w:pPr>
          </w:p>
          <w:p w14:paraId="45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Танцевальный вечер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 апреля</w:t>
            </w:r>
          </w:p>
          <w:p w14:paraId="4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20:00</w:t>
            </w:r>
            <w:r>
              <w:rPr>
                <w:rFonts w:ascii="Times New Roman" w:hAnsi="Times New Roman"/>
                <w:sz w:val="22"/>
              </w:rPr>
              <w:t>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Е.Г.</w:t>
            </w:r>
          </w:p>
        </w:tc>
      </w:tr>
      <w:tr>
        <w:trPr>
          <w:trHeight w:hRule="atLeast" w:val="869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</w:p>
          <w:p w14:paraId="4D000000">
            <w:pPr>
              <w:rPr>
                <w:rFonts w:ascii="Times New Roman" w:hAnsi="Times New Roman"/>
                <w:sz w:val="22"/>
              </w:rPr>
            </w:pPr>
          </w:p>
          <w:p w14:paraId="4E000000">
            <w:pPr>
              <w:rPr>
                <w:rFonts w:ascii="Times New Roman" w:hAnsi="Times New Roman"/>
                <w:sz w:val="22"/>
              </w:rPr>
            </w:pPr>
          </w:p>
          <w:p w14:paraId="4F00000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«Наша зеленая планета» - викторина 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 апреля</w:t>
            </w:r>
          </w:p>
          <w:p w14:paraId="5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5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Сафонова Е.Г.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Танцевальный вечер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 апреля</w:t>
            </w:r>
          </w:p>
          <w:p w14:paraId="5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  <w:bookmarkStart w:id="1" w:name="_GoBack"/>
            <w:bookmarkEnd w:id="1"/>
            <w:r>
              <w:rPr>
                <w:rFonts w:ascii="Times New Roman" w:hAnsi="Times New Roman"/>
                <w:sz w:val="22"/>
              </w:rPr>
              <w:t>:00 ч.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взрослая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5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>«Осторожно! Злой огонь!» – познавательно – игровая программа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апреля</w:t>
            </w:r>
          </w:p>
          <w:p w14:paraId="6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15:00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6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  <w:tr>
        <w:trPr>
          <w:trHeight w:hRule="atLeast" w:val="661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«Все на танцпол!» – вечер посвященный Дню танца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апреля</w:t>
            </w:r>
          </w:p>
          <w:p w14:paraId="6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20:00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смешанная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6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с.Кругликово</w:t>
            </w:r>
          </w:p>
        </w:tc>
        <w:tc>
          <w:tcPr>
            <w:tcW w:type="dxa" w:w="1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Лобода Е.Г.</w:t>
            </w:r>
          </w:p>
        </w:tc>
      </w:tr>
    </w:tbl>
    <w:p w14:paraId="6F0000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000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3"/>
    <w:pPr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2026-02-16T05:54:55Z</dcterms:modified>
</cp:coreProperties>
</file>